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3500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color w:val="0000FF"/>
          <w:sz w:val="26"/>
          <w:szCs w:val="26"/>
        </w:rPr>
        <w:t>Кәсі</w:t>
      </w:r>
      <w:r>
        <w:rPr>
          <w:rFonts w:ascii="Times New Roman" w:hAnsi="Times New Roman" w:cs="Times New Roman"/>
          <w:b/>
          <w:color w:val="0000FF"/>
          <w:sz w:val="26"/>
          <w:szCs w:val="26"/>
          <w:lang w:val="kk-KZ"/>
        </w:rPr>
        <w:t>би</w:t>
      </w:r>
      <w:r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FF"/>
          <w:sz w:val="26"/>
          <w:szCs w:val="26"/>
          <w:lang w:val="kk-KZ"/>
        </w:rPr>
        <w:t>іс-тәжірибе</w:t>
      </w:r>
    </w:p>
    <w:p w14:paraId="4DF91D41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color w:val="0000FF"/>
          <w:sz w:val="26"/>
          <w:szCs w:val="26"/>
          <w:lang w:val="kk-KZ"/>
        </w:rPr>
        <w:t>өту үшін білім алушы-практиканттарға арналған</w:t>
      </w:r>
    </w:p>
    <w:p w14:paraId="68010E46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color w:val="0000FF"/>
          <w:sz w:val="26"/>
          <w:szCs w:val="26"/>
          <w:lang w:val="kk-KZ"/>
        </w:rPr>
        <w:t>ЖАДЫНАМА</w:t>
      </w:r>
    </w:p>
    <w:p w14:paraId="78A098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6217C1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7FF2A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Университеттің білім беру бағдарламаларының талаптарына сәйкес білім алушылар кәсіби іс-тәжірибенің келесі түрлерінен өтеді:</w:t>
      </w:r>
    </w:p>
    <w:p w14:paraId="41AA325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kk-KZ"/>
        </w:rPr>
        <w:t>Бакалавриат-педагогикалық білім беру бағдарламалары (БББ)</w:t>
      </w:r>
    </w:p>
    <w:p w14:paraId="5676CD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оқу;</w:t>
      </w:r>
    </w:p>
    <w:p w14:paraId="6B7A7B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психологиялық-педагогикалық;</w:t>
      </w:r>
    </w:p>
    <w:p w14:paraId="351B6B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педагогикалық, 3 курс;</w:t>
      </w:r>
    </w:p>
    <w:p w14:paraId="6DC36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өндірістік педагогикалық, 4 курс.</w:t>
      </w:r>
    </w:p>
    <w:p w14:paraId="137AC1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Педагогикалық білім беруді жаңғырту  жобасы шеңберінде іске асырылатын университеттің білім беру бағдарламалары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(IP)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бойынша білім алушылар кәсіби іс-тәжірибенің келесі түрлерінен өтеді:</w:t>
      </w:r>
    </w:p>
    <w:p w14:paraId="3CD914E3">
      <w:pPr>
        <w:pStyle w:val="7"/>
        <w:suppressAutoHyphens/>
        <w:spacing w:before="0"/>
        <w:ind w:firstLine="567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- мұғалім мамандығына кіріспе;</w:t>
      </w:r>
    </w:p>
    <w:p w14:paraId="17E67AD9">
      <w:pPr>
        <w:pStyle w:val="7"/>
        <w:suppressAutoHyphens/>
        <w:spacing w:before="0"/>
        <w:ind w:firstLine="567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- психологиялық-педагогикалық бағалау;</w:t>
      </w:r>
    </w:p>
    <w:p w14:paraId="49555037">
      <w:pPr>
        <w:pStyle w:val="7"/>
        <w:suppressAutoHyphens/>
        <w:spacing w:before="0"/>
        <w:ind w:firstLine="567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- педагогикалық тәсілдер;</w:t>
      </w:r>
    </w:p>
    <w:p w14:paraId="4129A8F8">
      <w:pPr>
        <w:pStyle w:val="7"/>
        <w:suppressAutoHyphens/>
        <w:spacing w:before="0"/>
        <w:ind w:firstLine="567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- білім берудегі зерттеулер мен инновациялар.</w:t>
      </w:r>
    </w:p>
    <w:p w14:paraId="4B53CDD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kk-KZ"/>
        </w:rPr>
        <w:t>Бакалавриат-барлық басқа білім беру бағдарламалары (БББ)</w:t>
      </w:r>
    </w:p>
    <w:p w14:paraId="4A12D4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оқу;</w:t>
      </w:r>
    </w:p>
    <w:p w14:paraId="667DA1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өндірістік, 2 курс;</w:t>
      </w:r>
    </w:p>
    <w:p w14:paraId="47AE98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өндірістік,3 курс;</w:t>
      </w:r>
    </w:p>
    <w:p w14:paraId="3B4B8FB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өндірістік, 4 курс.</w:t>
      </w:r>
    </w:p>
    <w:p w14:paraId="723FA9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4D2497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Кәсіби іс-тәжірибенің барлық түрлері Академиялық күнтізбеге сәйкес өткізіледі, тәжірибе мерзімдері университеттің ресми сайтындағы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Білім беру</w:t>
      </w:r>
      <w:r>
        <w:rPr>
          <w:rFonts w:ascii="Times New Roman" w:hAnsi="Times New Roman" w:cs="Times New Roman"/>
          <w:sz w:val="26"/>
          <w:szCs w:val="26"/>
          <w:lang w:val="kk-KZ"/>
        </w:rPr>
        <w:t>» бөлімінде бұдан әрі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Кәсіби іс-тәжірибе</w:t>
      </w:r>
      <w:r>
        <w:rPr>
          <w:rFonts w:ascii="Times New Roman" w:hAnsi="Times New Roman" w:cs="Times New Roman"/>
          <w:sz w:val="26"/>
          <w:szCs w:val="26"/>
          <w:lang w:val="kk-KZ"/>
        </w:rPr>
        <w:t>» бөлімінде –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Іс-тәжірибе графиктері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» бөлімшесінде көрсетілген. </w:t>
      </w:r>
    </w:p>
    <w:p w14:paraId="1FDBA9AE">
      <w:pPr>
        <w:pStyle w:val="5"/>
        <w:spacing w:before="0" w:beforeAutospacing="0" w:after="0" w:afterAutospacing="0"/>
        <w:ind w:firstLine="567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Қысқартылған оқу мерзімдері бойынша білім алушылар (ТжКБ және жоғары білім негізіндегі) үшін кәсіби іс-тәжірибе бойынша ресми және информалды білім нәтижелерін тану қарастырылған.</w:t>
      </w:r>
    </w:p>
    <w:p w14:paraId="4CF9A50F"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6"/>
          <w:szCs w:val="26"/>
          <w:lang w:val="kk-KZ" w:eastAsia="ru-RU"/>
        </w:rPr>
      </w:pPr>
      <w:r>
        <w:rPr>
          <w:rFonts w:ascii="Times New Roman" w:hAnsi="Times New Roman" w:eastAsia="Times New Roman"/>
          <w:sz w:val="26"/>
          <w:szCs w:val="26"/>
          <w:lang w:val="kk-KZ" w:eastAsia="ru-RU"/>
        </w:rPr>
        <w:t>Бітіру курсының іс-тәжірибесін қоспағанда, кәсіби іс-тәжірибе бойынша ресми білім беру бойынша оқыту нәтижелерін тану жоғары білім ББ бейіні алдыңғы білім ББ сәйкес келген кезде, университетте белгіленген рәсімге сәйкес жүзеге асырылады.</w:t>
      </w:r>
    </w:p>
    <w:p w14:paraId="3C70A383">
      <w:pPr>
        <w:pStyle w:val="5"/>
        <w:spacing w:before="0" w:beforeAutospacing="0" w:after="0" w:afterAutospacing="0"/>
        <w:ind w:firstLine="567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Информалды оқу нәтижелерін тану және кәсіби іс-тәжірибені қайта есептеу үшін білім алушы білім беру бағдарламасының бейіні бойынша ресми түрде жұмысқа орналасқан болуы керек. Жұмысқа орналасу Университеттің білім беру бағдарламасының Академиялық күнтізбесінде көрсетілген кәсіби іс-тәжірибе мерзімімен сәйкес келуі тиіс.</w:t>
      </w:r>
    </w:p>
    <w:p w14:paraId="05E2F5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3A4291F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  <w:t>ТӘЖІРИБЕ БОЙЫНША ҚҰЖАТТАР:</w:t>
      </w:r>
    </w:p>
    <w:p w14:paraId="666CE35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  <w:t>Кәсіби іс-тәжірибені өткізуге арналған келісім-шарт</w:t>
      </w:r>
    </w:p>
    <w:p w14:paraId="54B2A0E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2060"/>
          <w:sz w:val="26"/>
          <w:szCs w:val="26"/>
          <w:lang w:val="kk-KZ"/>
        </w:rPr>
        <w:t xml:space="preserve"> Үш жақты </w:t>
      </w:r>
      <w:r>
        <w:rPr>
          <w:rFonts w:ascii="Times New Roman" w:hAnsi="Times New Roman" w:cs="Times New Roman"/>
          <w:sz w:val="26"/>
          <w:szCs w:val="26"/>
          <w:lang w:val="kk-KZ"/>
        </w:rPr>
        <w:t>Келісім-шарт (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екі жақты келісім – шарт кафедрада болмаған жағдайда</w:t>
      </w:r>
      <w:r>
        <w:rPr>
          <w:rFonts w:ascii="Times New Roman" w:hAnsi="Times New Roman" w:cs="Times New Roman"/>
          <w:sz w:val="26"/>
          <w:szCs w:val="26"/>
          <w:lang w:val="kk-KZ"/>
        </w:rPr>
        <w:t>) іс-тәжірибе басталғанға дейін, кемінде 1 ай бұрын жасалады және тиісті кафедраға ұсынылады. Шарттың үлгісі университеттің ресми сайтында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Білім беру</w:t>
      </w:r>
      <w:r>
        <w:rPr>
          <w:rFonts w:ascii="Times New Roman" w:hAnsi="Times New Roman" w:cs="Times New Roman"/>
          <w:sz w:val="26"/>
          <w:szCs w:val="26"/>
          <w:lang w:val="kk-KZ"/>
        </w:rPr>
        <w:t>»  бұдан әрі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Кәсіби іс-тәжірибе</w:t>
      </w:r>
      <w:r>
        <w:rPr>
          <w:rFonts w:ascii="Times New Roman" w:hAnsi="Times New Roman" w:cs="Times New Roman"/>
          <w:sz w:val="26"/>
          <w:szCs w:val="26"/>
          <w:lang w:val="kk-KZ"/>
        </w:rPr>
        <w:t>» бөлімінде –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Білім алушыларға</w:t>
      </w:r>
      <w:r>
        <w:rPr>
          <w:rFonts w:ascii="Times New Roman" w:hAnsi="Times New Roman" w:cs="Times New Roman"/>
          <w:sz w:val="26"/>
          <w:szCs w:val="26"/>
          <w:lang w:val="kk-KZ"/>
        </w:rPr>
        <w:t>» бөлімшесінде ұсынылған. Шартты қалыптастыруға қойылатын талаптарды қатаң сақтау керек;</w:t>
      </w:r>
    </w:p>
    <w:p w14:paraId="7B55A77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  <w:t>Іс-тәжірибеге жолдама</w:t>
      </w:r>
    </w:p>
    <w:p w14:paraId="667609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Жолдама түбіртегі күнделік-есептің 2-бөліміне тіркеледі;</w:t>
      </w:r>
    </w:p>
    <w:p w14:paraId="1D1AB5E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  <w:t>Күнделік-есеп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2440B1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Белгіленген үлгідегі күнделік-есептердің үлгілері университеттің ресми сайтында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Білім беру</w:t>
      </w:r>
      <w:r>
        <w:rPr>
          <w:rFonts w:ascii="Times New Roman" w:hAnsi="Times New Roman" w:cs="Times New Roman"/>
          <w:sz w:val="26"/>
          <w:szCs w:val="26"/>
          <w:lang w:val="kk-KZ"/>
        </w:rPr>
        <w:t>»  бұдан әрі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Кәсіби іс-тәжірибе</w:t>
      </w:r>
      <w:r>
        <w:rPr>
          <w:rFonts w:ascii="Times New Roman" w:hAnsi="Times New Roman" w:cs="Times New Roman"/>
          <w:sz w:val="26"/>
          <w:szCs w:val="26"/>
          <w:lang w:val="kk-KZ"/>
        </w:rPr>
        <w:t>» бөлімінде –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Білім алушыларға</w:t>
      </w:r>
      <w:r>
        <w:rPr>
          <w:rFonts w:ascii="Times New Roman" w:hAnsi="Times New Roman" w:cs="Times New Roman"/>
          <w:sz w:val="26"/>
          <w:szCs w:val="26"/>
          <w:lang w:val="kk-KZ"/>
        </w:rPr>
        <w:t>» бөлімшесінде ұсынылған.</w:t>
      </w:r>
    </w:p>
    <w:p w14:paraId="6BB0DE1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206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i/>
          <w:color w:val="002060"/>
          <w:sz w:val="20"/>
          <w:szCs w:val="20"/>
          <w:lang w:val="kk-KZ"/>
        </w:rPr>
        <w:t>Ескертпе</w:t>
      </w:r>
      <w:r>
        <w:rPr>
          <w:rFonts w:ascii="Times New Roman" w:hAnsi="Times New Roman" w:cs="Times New Roman"/>
          <w:i/>
          <w:color w:val="002060"/>
          <w:sz w:val="20"/>
          <w:szCs w:val="20"/>
          <w:lang w:val="kk-KZ"/>
        </w:rPr>
        <w:t xml:space="preserve">: ШҚУ Е Ф 004-25-08 – педагогикалық БББ үшін күнделік-есеп үлгісі; </w:t>
      </w:r>
    </w:p>
    <w:p w14:paraId="41009AA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2060"/>
          <w:sz w:val="20"/>
          <w:szCs w:val="20"/>
          <w:lang w:val="kk-KZ"/>
        </w:rPr>
      </w:pPr>
      <w:r>
        <w:rPr>
          <w:rFonts w:ascii="Times New Roman" w:hAnsi="Times New Roman" w:cs="Times New Roman"/>
          <w:i/>
          <w:color w:val="002060"/>
          <w:sz w:val="20"/>
          <w:szCs w:val="20"/>
          <w:lang w:val="kk-KZ"/>
        </w:rPr>
        <w:t xml:space="preserve">                  ШҚУ Е  Ф 005-25-07-барлық басқа БББ үшін күнделік-есеп үлгісі.</w:t>
      </w:r>
    </w:p>
    <w:p w14:paraId="046D07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6"/>
          <w:szCs w:val="26"/>
          <w:lang w:val="kk-KZ"/>
        </w:rPr>
        <w:t>Жұмыс жоспары-кестесін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университеттің іс-тәжірибе жетекшісі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бекіту конференциясында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ұсынады </w:t>
      </w:r>
      <w:r>
        <w:rPr>
          <w:rFonts w:ascii="Times New Roman" w:hAnsi="Times New Roman" w:cs="Times New Roman"/>
          <w:sz w:val="26"/>
          <w:szCs w:val="26"/>
          <w:lang w:val="kk-KZ"/>
        </w:rPr>
        <w:t>және білім алушымен күнделік – есептің 1-бөліміне енгізіледі.</w:t>
      </w:r>
    </w:p>
    <w:p w14:paraId="3C67B94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Күнделік-есепке 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 xml:space="preserve">қосымша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университет кафедралары жетекшілерінің талаптарына сәйкес қалыптастырылады.  </w:t>
      </w:r>
    </w:p>
    <w:p w14:paraId="6C8508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Іс-тәжірибе аяқталғаннан кейін 3-5 күн ішінде білім алушылар тол</w:t>
      </w:r>
      <w:r>
        <w:rPr>
          <w:rFonts w:ascii="Times New Roman" w:hAnsi="Times New Roman" w:cs="Times New Roman"/>
          <w:sz w:val="26"/>
          <w:szCs w:val="26"/>
          <w:lang/>
        </w:rPr>
        <w:t>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к ресімделген Күнделік-есепті университет кафедрасының жетекшісіне  тапсырады. </w:t>
      </w:r>
    </w:p>
    <w:p w14:paraId="3F7002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7DD32A1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  <w:lang w:val="kk-KZ"/>
        </w:rPr>
        <w:t>ТӘЖІРИБЕ НӘТИЖЕЛЕРІН БАҒАЛАУ</w:t>
      </w:r>
    </w:p>
    <w:p w14:paraId="65AD4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Іс-тәжірибе қорытындыларын бағалау жалпы қабылданған бағалау шкаласына </w:t>
      </w:r>
      <w:bookmarkStart w:id="14" w:name="_GoBack"/>
      <w:bookmarkEnd w:id="14"/>
      <w:r>
        <w:rPr>
          <w:rFonts w:ascii="Times New Roman" w:hAnsi="Times New Roman" w:cs="Times New Roman"/>
          <w:sz w:val="26"/>
          <w:szCs w:val="26"/>
          <w:lang w:val="kk-KZ"/>
        </w:rPr>
        <w:t>сәйкес жүргізіледі (0-ден 100% - ға дейін; қоса беріледі).</w:t>
      </w:r>
    </w:p>
    <w:p w14:paraId="115005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CFDFA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  <w:t>Іс-тәжірибе базасы жетекшісінің іс-тәжірибе қорытындыларын бағалауы</w:t>
      </w:r>
    </w:p>
    <w:p w14:paraId="27FE55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Педагогикалық БББ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білім алушыларының іс-тәжірибе нәтижелері бойынша бағалауды іс-тәжірибе базасынан жетекшісі  «</w:t>
      </w:r>
      <w:r>
        <w:rPr>
          <w:rFonts w:ascii="Times New Roman" w:hAnsi="Times New Roman" w:cs="Times New Roman"/>
          <w:i/>
          <w:sz w:val="26"/>
          <w:szCs w:val="26"/>
          <w:lang w:val="kk-KZ"/>
        </w:rPr>
        <w:t>Іс-тәжірибе қорытындылары бойынша бағалау ведомосіне</w:t>
      </w:r>
      <w:r>
        <w:rPr>
          <w:rFonts w:ascii="Times New Roman" w:hAnsi="Times New Roman" w:cs="Times New Roman"/>
          <w:sz w:val="26"/>
          <w:szCs w:val="26"/>
          <w:lang w:val="kk-KZ"/>
        </w:rPr>
        <w:t>» (күнделік-есептің 6 - бөлімі) бүкіл іс-тәжірибе кезеңінде енгізеді, ал қорытынды баға мінездемеде (күнделік-есептің 7-бөлімі) көрсетіледі.</w:t>
      </w:r>
    </w:p>
    <w:p w14:paraId="7D1801B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Педагогикалық емес БББ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білім алушылардың іс-тәжірибе нәтижелері бойынша бағалауды іс-тәжірибе базасынан жетекшісі іс-тәжірибе аяқталғанда білім алушыға берілген мінездемеге енгізеді (күнделік - есептің 6-бөлімі). Барлық іс-тәжірибе кезеңінде жетекші түзетуші бағалауды жүзеге асырады.</w:t>
      </w:r>
    </w:p>
    <w:p w14:paraId="6C18BE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29D704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  <w:t xml:space="preserve">Университет кафедрасының іс-тәжірибе қорытындыларын бағалау </w:t>
      </w:r>
    </w:p>
    <w:p w14:paraId="2FF1A7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Білім алушылардың іс-тәжірибе бойынша күнделік-есептерді қорғауды университет кафедрасының жетекшісі ұйымдастыратын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қорытынды конференцияда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жүргізеді. </w:t>
      </w:r>
    </w:p>
    <w:p w14:paraId="08AD76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Іс-тәжірибе бойынша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қорытынды баға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орта арифметикалық сан ретінде қойылады, ол ұйымның/мекеменің/кәсіпорынның іс-тәжірибе жетекшісінің, университет кафедраларының іс-тәжірибе жетекшісінің (лер) және басқарма төрағасы-ректордың бұйрығымен тағайындалған комиссия мүшелерінің бағаларынан қалыптастырылады.</w:t>
      </w:r>
    </w:p>
    <w:p w14:paraId="127189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Іс-тәжірибеден өтпеген, іс-тәжірибе Бағдарламасын орындамаған, жұмыс туралы теріс пікір алған немесе есепті қорғау кезінде қанағаттанарлықсыз баға алған білім алушылар теориялық оқытумен қатар келесі академиялық кезеңде іс-тәжірибеден қайта өтуге жіберіледі. </w:t>
      </w:r>
    </w:p>
    <w:p w14:paraId="40686E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49E8010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2060"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color w:val="002060"/>
          <w:sz w:val="26"/>
          <w:szCs w:val="26"/>
          <w:lang w:val="kk-KZ"/>
        </w:rPr>
        <w:t>Университетте кәсіби іс-тәжірибені ұйымдастыру және өткізу туралы толық ақпаратты университеттің ресми сайтында «Білім беру» бұдан әрі «Кәсіби іс-тәжірибе» бөлімінде – «Нормативтік құжаттар» бөлімшесінде орналасқан Ережелерден таба аласыздар.</w:t>
      </w:r>
    </w:p>
    <w:p w14:paraId="69E73555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2060"/>
          <w:sz w:val="26"/>
          <w:szCs w:val="26"/>
          <w:lang w:val="kk-KZ"/>
        </w:rPr>
      </w:pPr>
    </w:p>
    <w:p w14:paraId="292DE2A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z211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Білім алушылардың жетістіктерін бағалау жүйесі </w:t>
      </w:r>
    </w:p>
    <w:bookmarkEnd w:id="0"/>
    <w:tbl>
      <w:tblPr>
        <w:tblStyle w:val="3"/>
        <w:tblW w:w="9236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693"/>
        <w:gridCol w:w="2551"/>
        <w:gridCol w:w="2552"/>
      </w:tblGrid>
      <w:tr w14:paraId="3F2B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95749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1" w:name="z212"/>
            <w:r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  <w:t>Әріптік жүйе бойынша бағалау</w:t>
            </w:r>
          </w:p>
          <w:bookmarkEnd w:id="1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5EB4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4F5F6"/>
              </w:rPr>
              <w:t>Балдардың сандық эквиваленті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E285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Пайыздық мазмұн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  <w:t>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F6228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Дәстүрлі жүйе бойынша бағалау</w:t>
            </w:r>
          </w:p>
        </w:tc>
      </w:tr>
      <w:tr w14:paraId="196A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DD53A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2" w:name="z217"/>
            <w:r>
              <w:rPr>
                <w:rFonts w:ascii="Times New Roman" w:hAnsi="Times New Roman" w:cs="Times New Roman"/>
                <w:color w:val="000000"/>
                <w:sz w:val="20"/>
              </w:rPr>
              <w:t>А</w:t>
            </w:r>
          </w:p>
          <w:bookmarkEnd w:id="2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FB9B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6BAF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95-100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1BF3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Өте жақсы</w:t>
            </w:r>
          </w:p>
        </w:tc>
      </w:tr>
      <w:tr w14:paraId="698C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7983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222"/>
            <w:r>
              <w:rPr>
                <w:rFonts w:ascii="Times New Roman" w:hAnsi="Times New Roman" w:cs="Times New Roman"/>
                <w:color w:val="000000"/>
                <w:sz w:val="20"/>
              </w:rPr>
              <w:t>А-</w:t>
            </w:r>
          </w:p>
          <w:bookmarkEnd w:id="3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3572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3,67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3D792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90-94</w:t>
            </w:r>
          </w:p>
        </w:tc>
        <w:tc>
          <w:tcPr>
            <w:tcW w:w="2552" w:type="dxa"/>
            <w:vMerge w:val="continue"/>
          </w:tcPr>
          <w:p w14:paraId="733C72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5CB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A7FA1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227"/>
            <w:r>
              <w:rPr>
                <w:rFonts w:ascii="Times New Roman" w:hAnsi="Times New Roman" w:cs="Times New Roman"/>
                <w:color w:val="000000"/>
                <w:sz w:val="20"/>
              </w:rPr>
              <w:t>В+</w:t>
            </w:r>
          </w:p>
          <w:bookmarkEnd w:id="4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FE7E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3,33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23DD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85-89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178B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Жақсы</w:t>
            </w:r>
          </w:p>
        </w:tc>
      </w:tr>
      <w:tr w14:paraId="017D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3279E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5" w:name="z232"/>
            <w:r>
              <w:rPr>
                <w:rFonts w:ascii="Times New Roman" w:hAnsi="Times New Roman" w:cs="Times New Roman"/>
                <w:color w:val="000000"/>
                <w:sz w:val="20"/>
              </w:rPr>
              <w:t>В</w:t>
            </w:r>
          </w:p>
          <w:bookmarkEnd w:id="5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F224F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483C2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80-84</w:t>
            </w:r>
          </w:p>
        </w:tc>
        <w:tc>
          <w:tcPr>
            <w:tcW w:w="2552" w:type="dxa"/>
            <w:vMerge w:val="continue"/>
          </w:tcPr>
          <w:p w14:paraId="2E24A0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B96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A66CA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237"/>
            <w:r>
              <w:rPr>
                <w:rFonts w:ascii="Times New Roman" w:hAnsi="Times New Roman" w:cs="Times New Roman"/>
                <w:color w:val="000000"/>
                <w:sz w:val="20"/>
              </w:rPr>
              <w:t>В-</w:t>
            </w:r>
          </w:p>
          <w:bookmarkEnd w:id="6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6EEAE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2,67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0CF2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75-79</w:t>
            </w:r>
          </w:p>
        </w:tc>
        <w:tc>
          <w:tcPr>
            <w:tcW w:w="2552" w:type="dxa"/>
            <w:vMerge w:val="continue"/>
          </w:tcPr>
          <w:p w14:paraId="1AA41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9F2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332A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7" w:name="z242"/>
            <w:r>
              <w:rPr>
                <w:rFonts w:ascii="Times New Roman" w:hAnsi="Times New Roman" w:cs="Times New Roman"/>
                <w:color w:val="000000"/>
                <w:sz w:val="20"/>
              </w:rPr>
              <w:t>С+</w:t>
            </w:r>
          </w:p>
          <w:bookmarkEnd w:id="7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B846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2,33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A6A9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70-74</w:t>
            </w:r>
          </w:p>
        </w:tc>
        <w:tc>
          <w:tcPr>
            <w:tcW w:w="2552" w:type="dxa"/>
            <w:vMerge w:val="continue"/>
          </w:tcPr>
          <w:p w14:paraId="456091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4BA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DEB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247"/>
            <w:r>
              <w:rPr>
                <w:rFonts w:ascii="Times New Roman" w:hAnsi="Times New Roman" w:cs="Times New Roman"/>
                <w:color w:val="000000"/>
                <w:sz w:val="20"/>
              </w:rPr>
              <w:t>С</w:t>
            </w:r>
          </w:p>
          <w:bookmarkEnd w:id="8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8F75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ECD8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65-69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E0861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Қанағаттанарлық</w:t>
            </w:r>
          </w:p>
        </w:tc>
      </w:tr>
      <w:tr w14:paraId="15FF2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7745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9" w:name="z252"/>
            <w:r>
              <w:rPr>
                <w:rFonts w:ascii="Times New Roman" w:hAnsi="Times New Roman" w:cs="Times New Roman"/>
                <w:color w:val="000000"/>
                <w:sz w:val="20"/>
              </w:rPr>
              <w:t>С-</w:t>
            </w:r>
          </w:p>
          <w:bookmarkEnd w:id="9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66C01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1,67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CBD3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60-64</w:t>
            </w:r>
          </w:p>
        </w:tc>
        <w:tc>
          <w:tcPr>
            <w:tcW w:w="2552" w:type="dxa"/>
            <w:vMerge w:val="continue"/>
          </w:tcPr>
          <w:p w14:paraId="619AB1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55B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528B2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0" w:name="z257"/>
            <w:r>
              <w:rPr>
                <w:rFonts w:ascii="Times New Roman" w:hAnsi="Times New Roman" w:cs="Times New Roman"/>
                <w:color w:val="000000"/>
                <w:sz w:val="20"/>
              </w:rPr>
              <w:t>D+</w:t>
            </w:r>
          </w:p>
          <w:bookmarkEnd w:id="10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B9EEE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1,33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F271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55-59</w:t>
            </w:r>
          </w:p>
        </w:tc>
        <w:tc>
          <w:tcPr>
            <w:tcW w:w="2552" w:type="dxa"/>
            <w:vMerge w:val="continue"/>
          </w:tcPr>
          <w:p w14:paraId="2C7CD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47DC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F94A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1" w:name="z262"/>
            <w:r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  <w:bookmarkEnd w:id="11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7D90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2EBB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50-54</w:t>
            </w:r>
          </w:p>
        </w:tc>
        <w:tc>
          <w:tcPr>
            <w:tcW w:w="2552" w:type="dxa"/>
            <w:vMerge w:val="continue"/>
          </w:tcPr>
          <w:p w14:paraId="7623B1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17B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10371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2" w:name="z267"/>
            <w:r>
              <w:rPr>
                <w:rFonts w:ascii="Times New Roman" w:hAnsi="Times New Roman" w:cs="Times New Roman"/>
                <w:color w:val="000000"/>
                <w:sz w:val="20"/>
              </w:rPr>
              <w:t>FX</w:t>
            </w:r>
          </w:p>
          <w:bookmarkEnd w:id="12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102A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0,5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BADF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25-49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D01D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Қанағаттанарлықсыз</w:t>
            </w:r>
          </w:p>
        </w:tc>
      </w:tr>
      <w:tr w14:paraId="3D842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898BE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3" w:name="z272"/>
            <w:r>
              <w:rPr>
                <w:rFonts w:ascii="Times New Roman" w:hAnsi="Times New Roman" w:cs="Times New Roman"/>
                <w:color w:val="000000"/>
                <w:sz w:val="20"/>
              </w:rPr>
              <w:t>F</w:t>
            </w:r>
          </w:p>
          <w:bookmarkEnd w:id="13"/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08B2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1DF2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0-24</w:t>
            </w:r>
          </w:p>
        </w:tc>
        <w:tc>
          <w:tcPr>
            <w:tcW w:w="2552" w:type="dxa"/>
            <w:vMerge w:val="continue"/>
          </w:tcPr>
          <w:p w14:paraId="51D6083D">
            <w:pPr>
              <w:rPr>
                <w:rFonts w:ascii="Times New Roman" w:hAnsi="Times New Roman" w:cs="Times New Roman"/>
              </w:rPr>
            </w:pPr>
          </w:p>
        </w:tc>
      </w:tr>
    </w:tbl>
    <w:p w14:paraId="71FE0CF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426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B3"/>
    <w:rsid w:val="0009504F"/>
    <w:rsid w:val="000D71A7"/>
    <w:rsid w:val="000E1F79"/>
    <w:rsid w:val="000F07D5"/>
    <w:rsid w:val="00175430"/>
    <w:rsid w:val="00187408"/>
    <w:rsid w:val="001D7584"/>
    <w:rsid w:val="00235E41"/>
    <w:rsid w:val="00325303"/>
    <w:rsid w:val="003D6396"/>
    <w:rsid w:val="00450AFB"/>
    <w:rsid w:val="004D14D7"/>
    <w:rsid w:val="005111F8"/>
    <w:rsid w:val="00536586"/>
    <w:rsid w:val="0057219A"/>
    <w:rsid w:val="00583812"/>
    <w:rsid w:val="00586ECE"/>
    <w:rsid w:val="00592254"/>
    <w:rsid w:val="005B5DEA"/>
    <w:rsid w:val="005E5E67"/>
    <w:rsid w:val="00614903"/>
    <w:rsid w:val="006668C1"/>
    <w:rsid w:val="006C5568"/>
    <w:rsid w:val="007B452A"/>
    <w:rsid w:val="007C398D"/>
    <w:rsid w:val="0081342A"/>
    <w:rsid w:val="008B71FF"/>
    <w:rsid w:val="008C4072"/>
    <w:rsid w:val="008D4015"/>
    <w:rsid w:val="00901636"/>
    <w:rsid w:val="00911731"/>
    <w:rsid w:val="00946228"/>
    <w:rsid w:val="00A31A22"/>
    <w:rsid w:val="00A41BB3"/>
    <w:rsid w:val="00A43B8D"/>
    <w:rsid w:val="00A476AE"/>
    <w:rsid w:val="00A5214E"/>
    <w:rsid w:val="00A76201"/>
    <w:rsid w:val="00AF1493"/>
    <w:rsid w:val="00B14B2A"/>
    <w:rsid w:val="00BC3A0B"/>
    <w:rsid w:val="00C264D9"/>
    <w:rsid w:val="00C9129E"/>
    <w:rsid w:val="00CA11D0"/>
    <w:rsid w:val="00CC4E8D"/>
    <w:rsid w:val="00CF485B"/>
    <w:rsid w:val="00D07D84"/>
    <w:rsid w:val="00D16177"/>
    <w:rsid w:val="00DF7287"/>
    <w:rsid w:val="00E413BF"/>
    <w:rsid w:val="00E611DD"/>
    <w:rsid w:val="00E82ABE"/>
    <w:rsid w:val="00EB5F41"/>
    <w:rsid w:val="00EC5AAE"/>
    <w:rsid w:val="00EE5016"/>
    <w:rsid w:val="00F764E7"/>
    <w:rsid w:val="0289369F"/>
    <w:rsid w:val="7CEB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6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ascii="Arial" w:hAnsi="Arial" w:eastAsia="Times New Roman" w:cs="Times New Roman"/>
      <w:sz w:val="28"/>
      <w:szCs w:val="24"/>
      <w:lang w:eastAsia="ru-RU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Нижний колонтитул Знак"/>
    <w:basedOn w:val="2"/>
    <w:link w:val="4"/>
    <w:uiPriority w:val="99"/>
    <w:rPr>
      <w:rFonts w:ascii="Arial" w:hAnsi="Arial" w:eastAsia="Times New Roman" w:cs="Times New Roman"/>
      <w:sz w:val="28"/>
      <w:szCs w:val="24"/>
      <w:lang w:eastAsia="ru-RU"/>
    </w:rPr>
  </w:style>
  <w:style w:type="paragraph" w:customStyle="1" w:styleId="7">
    <w:name w:val="Абзац"/>
    <w:basedOn w:val="1"/>
    <w:qFormat/>
    <w:uiPriority w:val="0"/>
    <w:pPr>
      <w:spacing w:before="120"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795</Words>
  <Characters>4532</Characters>
  <Lines>37</Lines>
  <Paragraphs>10</Paragraphs>
  <TotalTime>313</TotalTime>
  <ScaleCrop>false</ScaleCrop>
  <LinksUpToDate>false</LinksUpToDate>
  <CharactersWithSpaces>5317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2023-12-13T03:55:00Z</dcterms:created>
  <dc:creator>Жанылхан Токаева</dc:creator>
  <cp:lastModifiedBy>Admin</cp:lastModifiedBy>
  <dcterms:modified xsi:type="dcterms:W3CDTF">2025-06-26T04:28:46Z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9D9FA8FB10BA4D5F83A51D966AAB7FA2_12</vt:lpwstr>
  </property>
</Properties>
</file>